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lsx" ContentType="application/vnd.openxmlformats-officedocument.spreadsheetml.sheet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charts/style1.xml" ContentType="application/vnd.ms-office.chartstyle+xml"/>
  <Override PartName="/word/charts/colors1.xml" ContentType="application/vnd.ms-office.chartcolorstyle+xml"/>
  <Override PartName="/word/charts/chart2.xml" ContentType="application/vnd.openxmlformats-officedocument.drawingml.chart+xml"/>
  <Override PartName="/word/charts/style2.xml" ContentType="application/vnd.ms-office.chartstyle+xml"/>
  <Override PartName="/word/charts/colors2.xml" ContentType="application/vnd.ms-office.chartcolorstyle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F131598" w14:textId="27175F5C" w:rsidR="009402D7" w:rsidRDefault="00866FA4">
      <w:r w:rsidRPr="00866FA4">
        <w:rPr>
          <w:noProof/>
        </w:rPr>
        <w:drawing>
          <wp:inline distT="0" distB="0" distL="0" distR="0" wp14:anchorId="4A7012F0" wp14:editId="04D3949E">
            <wp:extent cx="1041921" cy="944880"/>
            <wp:effectExtent l="0" t="0" r="6350" b="762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1061232" cy="96239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0C33025" w14:textId="02620F46" w:rsidR="00866FA4" w:rsidRDefault="00866FA4"/>
    <w:p w14:paraId="73BDC011" w14:textId="64CEACD0" w:rsidR="00866FA4" w:rsidRDefault="00535DB9">
      <w:r>
        <w:rPr>
          <w:noProof/>
        </w:rPr>
        <w:drawing>
          <wp:inline distT="0" distB="0" distL="0" distR="0" wp14:anchorId="4EFB8532" wp14:editId="4196F29B">
            <wp:extent cx="6042660" cy="3383280"/>
            <wp:effectExtent l="0" t="0" r="15240" b="7620"/>
            <wp:docPr id="1" name="Chart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</w:p>
    <w:p w14:paraId="69F9793A" w14:textId="22AC8FDF" w:rsidR="00866FA4" w:rsidRDefault="00866FA4"/>
    <w:p w14:paraId="511823C5" w14:textId="26211A87" w:rsidR="00866FA4" w:rsidRDefault="00866FA4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256"/>
        <w:gridCol w:w="830"/>
        <w:gridCol w:w="765"/>
        <w:gridCol w:w="993"/>
        <w:gridCol w:w="708"/>
      </w:tblGrid>
      <w:tr w:rsidR="002D2076" w14:paraId="202DBD53" w14:textId="77777777" w:rsidTr="00493B17">
        <w:tc>
          <w:tcPr>
            <w:tcW w:w="3256" w:type="dxa"/>
          </w:tcPr>
          <w:p w14:paraId="7CE4C88C" w14:textId="55E7134A" w:rsidR="002D2076" w:rsidRDefault="002D2076">
            <w:r>
              <w:t>SPECIFICATION</w:t>
            </w:r>
          </w:p>
        </w:tc>
        <w:tc>
          <w:tcPr>
            <w:tcW w:w="677" w:type="dxa"/>
          </w:tcPr>
          <w:p w14:paraId="6FEE8CA8" w14:textId="77777777" w:rsidR="002D2076" w:rsidRDefault="002D2076"/>
        </w:tc>
        <w:tc>
          <w:tcPr>
            <w:tcW w:w="765" w:type="dxa"/>
          </w:tcPr>
          <w:p w14:paraId="2D96F527" w14:textId="77777777" w:rsidR="002D2076" w:rsidRDefault="002D2076"/>
        </w:tc>
        <w:tc>
          <w:tcPr>
            <w:tcW w:w="993" w:type="dxa"/>
          </w:tcPr>
          <w:p w14:paraId="1347B735" w14:textId="77777777" w:rsidR="002D2076" w:rsidRDefault="002D2076"/>
        </w:tc>
        <w:tc>
          <w:tcPr>
            <w:tcW w:w="708" w:type="dxa"/>
          </w:tcPr>
          <w:p w14:paraId="414C1E28" w14:textId="77777777" w:rsidR="002D2076" w:rsidRDefault="002D2076"/>
        </w:tc>
      </w:tr>
      <w:tr w:rsidR="002D2076" w14:paraId="5B304D5C" w14:textId="77777777" w:rsidTr="00493B17">
        <w:tc>
          <w:tcPr>
            <w:tcW w:w="3256" w:type="dxa"/>
          </w:tcPr>
          <w:p w14:paraId="15C4D5FF" w14:textId="387CCB05" w:rsidR="002D2076" w:rsidRDefault="002D2076">
            <w:r>
              <w:t>MAXIMUN PRESSURE</w:t>
            </w:r>
          </w:p>
        </w:tc>
        <w:tc>
          <w:tcPr>
            <w:tcW w:w="677" w:type="dxa"/>
          </w:tcPr>
          <w:p w14:paraId="3B525DFF" w14:textId="2CEA7740" w:rsidR="002D2076" w:rsidRDefault="002D2076">
            <w:r>
              <w:t>1500</w:t>
            </w:r>
          </w:p>
        </w:tc>
        <w:tc>
          <w:tcPr>
            <w:tcW w:w="765" w:type="dxa"/>
          </w:tcPr>
          <w:p w14:paraId="61ECC89D" w14:textId="4925D47E" w:rsidR="002D2076" w:rsidRDefault="002D2076">
            <w:r>
              <w:t>BAR</w:t>
            </w:r>
          </w:p>
        </w:tc>
        <w:tc>
          <w:tcPr>
            <w:tcW w:w="993" w:type="dxa"/>
          </w:tcPr>
          <w:p w14:paraId="53D92C17" w14:textId="296E4879" w:rsidR="002D2076" w:rsidRDefault="002D2076">
            <w:r>
              <w:t>21750</w:t>
            </w:r>
          </w:p>
        </w:tc>
        <w:tc>
          <w:tcPr>
            <w:tcW w:w="708" w:type="dxa"/>
          </w:tcPr>
          <w:p w14:paraId="4D7D4E43" w14:textId="07E0C92C" w:rsidR="002D2076" w:rsidRDefault="002D2076">
            <w:r>
              <w:t>PSI</w:t>
            </w:r>
          </w:p>
        </w:tc>
      </w:tr>
      <w:tr w:rsidR="002D2076" w14:paraId="39743E48" w14:textId="77777777" w:rsidTr="00493B17">
        <w:tc>
          <w:tcPr>
            <w:tcW w:w="3256" w:type="dxa"/>
          </w:tcPr>
          <w:p w14:paraId="6714A746" w14:textId="3CB54507" w:rsidR="002D2076" w:rsidRDefault="002D2076">
            <w:r>
              <w:t>HYDRAULIC PRESSURE AREA</w:t>
            </w:r>
          </w:p>
        </w:tc>
        <w:tc>
          <w:tcPr>
            <w:tcW w:w="677" w:type="dxa"/>
          </w:tcPr>
          <w:p w14:paraId="1E621501" w14:textId="3B6A6FED" w:rsidR="002D2076" w:rsidRDefault="002D2076">
            <w:r>
              <w:t>7378</w:t>
            </w:r>
          </w:p>
        </w:tc>
        <w:tc>
          <w:tcPr>
            <w:tcW w:w="765" w:type="dxa"/>
          </w:tcPr>
          <w:p w14:paraId="33CC8268" w14:textId="5D9065D7" w:rsidR="002D2076" w:rsidRDefault="002D2076">
            <w:r>
              <w:t>MM2</w:t>
            </w:r>
          </w:p>
        </w:tc>
        <w:tc>
          <w:tcPr>
            <w:tcW w:w="993" w:type="dxa"/>
          </w:tcPr>
          <w:p w14:paraId="47B3AEB7" w14:textId="4DB61117" w:rsidR="002D2076" w:rsidRDefault="002D2076">
            <w:r>
              <w:t>11.44</w:t>
            </w:r>
          </w:p>
        </w:tc>
        <w:tc>
          <w:tcPr>
            <w:tcW w:w="708" w:type="dxa"/>
          </w:tcPr>
          <w:p w14:paraId="534281A3" w14:textId="552E8ECB" w:rsidR="002D2076" w:rsidRDefault="002D2076">
            <w:r>
              <w:t>IN2</w:t>
            </w:r>
          </w:p>
        </w:tc>
      </w:tr>
      <w:tr w:rsidR="002D2076" w14:paraId="4F1AA3AC" w14:textId="77777777" w:rsidTr="00493B17">
        <w:tc>
          <w:tcPr>
            <w:tcW w:w="3256" w:type="dxa"/>
          </w:tcPr>
          <w:p w14:paraId="3B86117F" w14:textId="0AD7D71A" w:rsidR="002D2076" w:rsidRDefault="002D2076">
            <w:r>
              <w:t>MAXIMUN LOAD</w:t>
            </w:r>
          </w:p>
        </w:tc>
        <w:tc>
          <w:tcPr>
            <w:tcW w:w="677" w:type="dxa"/>
          </w:tcPr>
          <w:p w14:paraId="2159F79A" w14:textId="646D3F5A" w:rsidR="002D2076" w:rsidRDefault="002D2076">
            <w:r>
              <w:t>1106.7</w:t>
            </w:r>
          </w:p>
        </w:tc>
        <w:tc>
          <w:tcPr>
            <w:tcW w:w="765" w:type="dxa"/>
          </w:tcPr>
          <w:p w14:paraId="137C86D8" w14:textId="627A6381" w:rsidR="002D2076" w:rsidRDefault="002D2076">
            <w:r>
              <w:t>KN</w:t>
            </w:r>
          </w:p>
        </w:tc>
        <w:tc>
          <w:tcPr>
            <w:tcW w:w="993" w:type="dxa"/>
          </w:tcPr>
          <w:p w14:paraId="2B4DD347" w14:textId="6B3229E7" w:rsidR="002D2076" w:rsidRDefault="002D2076">
            <w:r>
              <w:t>248.8</w:t>
            </w:r>
          </w:p>
        </w:tc>
        <w:tc>
          <w:tcPr>
            <w:tcW w:w="708" w:type="dxa"/>
          </w:tcPr>
          <w:p w14:paraId="63AF1738" w14:textId="3B0E3CF0" w:rsidR="002D2076" w:rsidRDefault="002D2076">
            <w:r>
              <w:t>KLBF</w:t>
            </w:r>
          </w:p>
        </w:tc>
      </w:tr>
      <w:tr w:rsidR="002D2076" w14:paraId="5AA92354" w14:textId="77777777" w:rsidTr="00493B17">
        <w:tc>
          <w:tcPr>
            <w:tcW w:w="3256" w:type="dxa"/>
          </w:tcPr>
          <w:p w14:paraId="4C05DFA4" w14:textId="7E1FBEB0" w:rsidR="002D2076" w:rsidRDefault="002D2076">
            <w:r>
              <w:t>MAXIMUM STROKE</w:t>
            </w:r>
          </w:p>
        </w:tc>
        <w:tc>
          <w:tcPr>
            <w:tcW w:w="677" w:type="dxa"/>
          </w:tcPr>
          <w:p w14:paraId="18616E79" w14:textId="0A399496" w:rsidR="002D2076" w:rsidRDefault="002D2076">
            <w:r>
              <w:t>10</w:t>
            </w:r>
          </w:p>
        </w:tc>
        <w:tc>
          <w:tcPr>
            <w:tcW w:w="765" w:type="dxa"/>
          </w:tcPr>
          <w:p w14:paraId="6CD7CDE7" w14:textId="285983A7" w:rsidR="002D2076" w:rsidRDefault="002D2076">
            <w:r>
              <w:t>MM</w:t>
            </w:r>
          </w:p>
        </w:tc>
        <w:tc>
          <w:tcPr>
            <w:tcW w:w="993" w:type="dxa"/>
          </w:tcPr>
          <w:p w14:paraId="2E030EBB" w14:textId="5FC419BF" w:rsidR="002D2076" w:rsidRDefault="002D2076">
            <w:r>
              <w:t>0.39</w:t>
            </w:r>
          </w:p>
        </w:tc>
        <w:tc>
          <w:tcPr>
            <w:tcW w:w="708" w:type="dxa"/>
          </w:tcPr>
          <w:p w14:paraId="4658E07E" w14:textId="40AB6BAE" w:rsidR="002D2076" w:rsidRDefault="002D2076">
            <w:r>
              <w:t>IN</w:t>
            </w:r>
          </w:p>
        </w:tc>
      </w:tr>
      <w:tr w:rsidR="002D2076" w14:paraId="66B09A7C" w14:textId="77777777" w:rsidTr="00493B17">
        <w:tc>
          <w:tcPr>
            <w:tcW w:w="3256" w:type="dxa"/>
          </w:tcPr>
          <w:p w14:paraId="25BD3A63" w14:textId="7D9FF5E8" w:rsidR="002D2076" w:rsidRDefault="00493B17">
            <w:r>
              <w:t>FOOTPRINT AREA</w:t>
            </w:r>
          </w:p>
        </w:tc>
        <w:tc>
          <w:tcPr>
            <w:tcW w:w="677" w:type="dxa"/>
          </w:tcPr>
          <w:p w14:paraId="6775BEE1" w14:textId="2FB6F9C0" w:rsidR="002D2076" w:rsidRDefault="00493B17">
            <w:r>
              <w:t>1489</w:t>
            </w:r>
          </w:p>
        </w:tc>
        <w:tc>
          <w:tcPr>
            <w:tcW w:w="765" w:type="dxa"/>
          </w:tcPr>
          <w:p w14:paraId="2B28B28E" w14:textId="6F72B716" w:rsidR="002D2076" w:rsidRDefault="00493B17">
            <w:r>
              <w:t>MM2</w:t>
            </w:r>
          </w:p>
        </w:tc>
        <w:tc>
          <w:tcPr>
            <w:tcW w:w="993" w:type="dxa"/>
          </w:tcPr>
          <w:p w14:paraId="5356ABE1" w14:textId="51F0F428" w:rsidR="002D2076" w:rsidRDefault="00493B17">
            <w:r>
              <w:t>2.31</w:t>
            </w:r>
          </w:p>
        </w:tc>
        <w:tc>
          <w:tcPr>
            <w:tcW w:w="708" w:type="dxa"/>
          </w:tcPr>
          <w:p w14:paraId="3F0CBCB7" w14:textId="58AB429D" w:rsidR="002D2076" w:rsidRDefault="00493B17">
            <w:r>
              <w:t>IN2</w:t>
            </w:r>
          </w:p>
        </w:tc>
      </w:tr>
      <w:tr w:rsidR="002D2076" w14:paraId="6E63C329" w14:textId="77777777" w:rsidTr="00493B17">
        <w:tc>
          <w:tcPr>
            <w:tcW w:w="3256" w:type="dxa"/>
          </w:tcPr>
          <w:p w14:paraId="2023775E" w14:textId="57B1B1AE" w:rsidR="002D2076" w:rsidRDefault="00493B17">
            <w:r>
              <w:t>MAXIUMUM FOOTPRINT STRESS</w:t>
            </w:r>
          </w:p>
        </w:tc>
        <w:tc>
          <w:tcPr>
            <w:tcW w:w="677" w:type="dxa"/>
          </w:tcPr>
          <w:p w14:paraId="0BA70F58" w14:textId="2927AFD9" w:rsidR="002D2076" w:rsidRDefault="00493B17">
            <w:r>
              <w:t>743</w:t>
            </w:r>
          </w:p>
        </w:tc>
        <w:tc>
          <w:tcPr>
            <w:tcW w:w="765" w:type="dxa"/>
          </w:tcPr>
          <w:p w14:paraId="23044D4E" w14:textId="205E9967" w:rsidR="002D2076" w:rsidRDefault="00493B17">
            <w:r>
              <w:t>MPA</w:t>
            </w:r>
          </w:p>
        </w:tc>
        <w:tc>
          <w:tcPr>
            <w:tcW w:w="993" w:type="dxa"/>
          </w:tcPr>
          <w:p w14:paraId="771674DC" w14:textId="1453D0F4" w:rsidR="002D2076" w:rsidRDefault="00493B17">
            <w:r>
              <w:t>107763</w:t>
            </w:r>
          </w:p>
        </w:tc>
        <w:tc>
          <w:tcPr>
            <w:tcW w:w="708" w:type="dxa"/>
          </w:tcPr>
          <w:p w14:paraId="338E1FB9" w14:textId="3EDCE280" w:rsidR="002D2076" w:rsidRDefault="00493B17">
            <w:r>
              <w:t>PSI</w:t>
            </w:r>
          </w:p>
        </w:tc>
      </w:tr>
      <w:tr w:rsidR="002D2076" w14:paraId="3A8D373C" w14:textId="77777777" w:rsidTr="00493B17">
        <w:tc>
          <w:tcPr>
            <w:tcW w:w="3256" w:type="dxa"/>
          </w:tcPr>
          <w:p w14:paraId="0442FCA0" w14:textId="63F8855E" w:rsidR="002D2076" w:rsidRDefault="00493B17">
            <w:r>
              <w:t xml:space="preserve">APPROX TOOL </w:t>
            </w:r>
            <w:r w:rsidR="008D5242">
              <w:t>W</w:t>
            </w:r>
            <w:r>
              <w:t>EIGHT</w:t>
            </w:r>
          </w:p>
        </w:tc>
        <w:tc>
          <w:tcPr>
            <w:tcW w:w="677" w:type="dxa"/>
          </w:tcPr>
          <w:p w14:paraId="18E23C00" w14:textId="67F615FC" w:rsidR="002D2076" w:rsidRDefault="00493B17">
            <w:r>
              <w:t>13</w:t>
            </w:r>
          </w:p>
        </w:tc>
        <w:tc>
          <w:tcPr>
            <w:tcW w:w="765" w:type="dxa"/>
          </w:tcPr>
          <w:p w14:paraId="3A24967B" w14:textId="7CABBDC8" w:rsidR="002D2076" w:rsidRDefault="00493B17">
            <w:r>
              <w:t>KG</w:t>
            </w:r>
          </w:p>
        </w:tc>
        <w:tc>
          <w:tcPr>
            <w:tcW w:w="993" w:type="dxa"/>
          </w:tcPr>
          <w:p w14:paraId="28ADB54A" w14:textId="664187EE" w:rsidR="002D2076" w:rsidRDefault="00493B17">
            <w:r>
              <w:t>28.7</w:t>
            </w:r>
          </w:p>
        </w:tc>
        <w:tc>
          <w:tcPr>
            <w:tcW w:w="708" w:type="dxa"/>
          </w:tcPr>
          <w:p w14:paraId="2B10B219" w14:textId="58433FFA" w:rsidR="002D2076" w:rsidRDefault="00493B17">
            <w:r>
              <w:t>LB</w:t>
            </w:r>
          </w:p>
        </w:tc>
      </w:tr>
    </w:tbl>
    <w:p w14:paraId="5F037E57" w14:textId="2412AC85" w:rsidR="00866FA4" w:rsidRDefault="00866FA4"/>
    <w:p w14:paraId="7B7126C8" w14:textId="3EA767E5" w:rsidR="00866FA4" w:rsidRDefault="00866FA4"/>
    <w:p w14:paraId="271A734B" w14:textId="3CC5C0A4" w:rsidR="00866FA4" w:rsidRDefault="00866FA4"/>
    <w:p w14:paraId="6CB94263" w14:textId="1A34C2D5" w:rsidR="00866FA4" w:rsidRDefault="00866FA4"/>
    <w:p w14:paraId="75232A63" w14:textId="611DFCF7" w:rsidR="00866FA4" w:rsidRDefault="00866FA4"/>
    <w:p w14:paraId="567E8A3D" w14:textId="77777777" w:rsidR="00866FA4" w:rsidRDefault="00866FA4"/>
    <w:p w14:paraId="0FB5025E" w14:textId="7817078C" w:rsidR="00866FA4" w:rsidRDefault="00866FA4"/>
    <w:p w14:paraId="5FEC6920" w14:textId="0B89C7D8" w:rsidR="001F4854" w:rsidRDefault="001F4854"/>
    <w:p w14:paraId="3FC46D6E" w14:textId="6DA6E522" w:rsidR="001F4854" w:rsidRDefault="001F4854"/>
    <w:p w14:paraId="36B130D4" w14:textId="59A70D45" w:rsidR="001F4854" w:rsidRDefault="001F4854"/>
    <w:p w14:paraId="2A858352" w14:textId="541E0E46" w:rsidR="001F4854" w:rsidRDefault="00C60C5B">
      <w:r>
        <w:rPr>
          <w:noProof/>
        </w:rPr>
        <w:drawing>
          <wp:inline distT="0" distB="0" distL="0" distR="0" wp14:anchorId="201675AA" wp14:editId="41E1CBFE">
            <wp:extent cx="5943600" cy="3327400"/>
            <wp:effectExtent l="0" t="0" r="0" b="6350"/>
            <wp:docPr id="3" name="Chart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14:paraId="5C602E0F" w14:textId="70D3EDB5" w:rsidR="001F4854" w:rsidRDefault="001F4854"/>
    <w:p w14:paraId="0D53270D" w14:textId="77777777" w:rsidR="001F4854" w:rsidRDefault="001F4854"/>
    <w:sectPr w:rsidR="001F4854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394517F" w14:textId="77777777" w:rsidR="00434F38" w:rsidRDefault="00434F38" w:rsidP="008D5242">
      <w:pPr>
        <w:spacing w:after="0" w:line="240" w:lineRule="auto"/>
      </w:pPr>
      <w:r>
        <w:separator/>
      </w:r>
    </w:p>
  </w:endnote>
  <w:endnote w:type="continuationSeparator" w:id="0">
    <w:p w14:paraId="0AADB533" w14:textId="77777777" w:rsidR="00434F38" w:rsidRDefault="00434F38" w:rsidP="008D524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50E8A4E" w14:textId="77777777" w:rsidR="00434F38" w:rsidRDefault="00434F38" w:rsidP="008D5242">
      <w:pPr>
        <w:spacing w:after="0" w:line="240" w:lineRule="auto"/>
      </w:pPr>
      <w:r>
        <w:separator/>
      </w:r>
    </w:p>
  </w:footnote>
  <w:footnote w:type="continuationSeparator" w:id="0">
    <w:p w14:paraId="11D46B60" w14:textId="77777777" w:rsidR="00434F38" w:rsidRDefault="00434F38" w:rsidP="008D5242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60"/>
  <w:proofState w:spelling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66FA4"/>
    <w:rsid w:val="00061F91"/>
    <w:rsid w:val="00163358"/>
    <w:rsid w:val="001A23D7"/>
    <w:rsid w:val="001F4854"/>
    <w:rsid w:val="00250980"/>
    <w:rsid w:val="00294BD4"/>
    <w:rsid w:val="002D2076"/>
    <w:rsid w:val="00434F38"/>
    <w:rsid w:val="00493B17"/>
    <w:rsid w:val="00513A39"/>
    <w:rsid w:val="00535DB9"/>
    <w:rsid w:val="0062012F"/>
    <w:rsid w:val="0075436B"/>
    <w:rsid w:val="00802100"/>
    <w:rsid w:val="00866FA4"/>
    <w:rsid w:val="008D5242"/>
    <w:rsid w:val="009402D7"/>
    <w:rsid w:val="00A67CD2"/>
    <w:rsid w:val="00B476C6"/>
    <w:rsid w:val="00C60C5B"/>
    <w:rsid w:val="00DB0778"/>
    <w:rsid w:val="00DC5282"/>
    <w:rsid w:val="00E86F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E1A294B"/>
  <w15:chartTrackingRefBased/>
  <w15:docId w15:val="{425CF3C0-837E-401F-B389-45659039AF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2D207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chart" Target="charts/chart2.xml"/></Relationships>
</file>

<file path=word/charts/_rels/chart1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Microsoft_Excel_Worksheet.xlsx"/><Relationship Id="rId2" Type="http://schemas.microsoft.com/office/2011/relationships/chartColorStyle" Target="colors1.xml"/><Relationship Id="rId1" Type="http://schemas.microsoft.com/office/2011/relationships/chartStyle" Target="style1.xml"/></Relationships>
</file>

<file path=word/charts/_rels/chart2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Microsoft_Excel_Worksheet1.xlsx"/><Relationship Id="rId2" Type="http://schemas.microsoft.com/office/2011/relationships/chartColorStyle" Target="colors2.xml"/><Relationship Id="rId1" Type="http://schemas.microsoft.com/office/2011/relationships/chartStyle" Target="style2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600" b="1" i="0" u="none" strike="noStrike" kern="1200" cap="all" spc="120" normalizeH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en-US"/>
              <a:t>TDF-1625-10-00</a:t>
            </a:r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600" b="1" i="0" u="none" strike="noStrike" kern="1200" cap="all" spc="120" normalizeH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en-US"/>
        </a:p>
      </c:txPr>
    </c:title>
    <c:autoTitleDeleted val="0"/>
    <c:plotArea>
      <c:layout>
        <c:manualLayout>
          <c:layoutTarget val="inner"/>
          <c:xMode val="edge"/>
          <c:yMode val="edge"/>
          <c:x val="6.1105870593414172E-2"/>
          <c:y val="0.1146021021021021"/>
          <c:w val="0.86533380994462705"/>
          <c:h val="0.69648358988910175"/>
        </c:manualLayout>
      </c:layout>
      <c:lineChart>
        <c:grouping val="standard"/>
        <c:varyColors val="0"/>
        <c:ser>
          <c:idx val="0"/>
          <c:order val="0"/>
          <c:tx>
            <c:strRef>
              <c:f>Sheet1!$B$1</c:f>
              <c:strCache>
                <c:ptCount val="1"/>
                <c:pt idx="0">
                  <c:v>Series 1</c:v>
                </c:pt>
              </c:strCache>
            </c:strRef>
          </c:tx>
          <c:spPr>
            <a:ln w="22225" cap="rnd">
              <a:solidFill>
                <a:schemeClr val="accent1"/>
              </a:solidFill>
              <a:round/>
            </a:ln>
            <a:effectLst/>
          </c:spPr>
          <c:marker>
            <c:symbol val="diamond"/>
            <c:size val="6"/>
            <c:spPr>
              <a:solidFill>
                <a:schemeClr val="accent1"/>
              </a:solidFill>
              <a:ln w="9525">
                <a:solidFill>
                  <a:schemeClr val="accent1"/>
                </a:solidFill>
                <a:round/>
              </a:ln>
              <a:effectLst/>
            </c:spPr>
          </c:marker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50000"/>
                        <a:lumOff val="50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en-US"/>
              </a:p>
            </c:txPr>
            <c:dLblPos val="t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</a:ln>
                    <a:effectLst/>
                  </c:spPr>
                </c15:leaderLines>
              </c:ext>
            </c:extLst>
          </c:dLbls>
          <c:cat>
            <c:numRef>
              <c:f>Sheet1!$A$2:$A$17</c:f>
              <c:numCache>
                <c:formatCode>General</c:formatCode>
                <c:ptCount val="16"/>
                <c:pt idx="0">
                  <c:v>0</c:v>
                </c:pt>
                <c:pt idx="1">
                  <c:v>100</c:v>
                </c:pt>
                <c:pt idx="2">
                  <c:v>200</c:v>
                </c:pt>
                <c:pt idx="3">
                  <c:v>300</c:v>
                </c:pt>
                <c:pt idx="4">
                  <c:v>400</c:v>
                </c:pt>
                <c:pt idx="5">
                  <c:v>500</c:v>
                </c:pt>
                <c:pt idx="6">
                  <c:v>600</c:v>
                </c:pt>
                <c:pt idx="7">
                  <c:v>700</c:v>
                </c:pt>
                <c:pt idx="8">
                  <c:v>800</c:v>
                </c:pt>
                <c:pt idx="9">
                  <c:v>900</c:v>
                </c:pt>
                <c:pt idx="10">
                  <c:v>1000</c:v>
                </c:pt>
                <c:pt idx="11">
                  <c:v>1100</c:v>
                </c:pt>
                <c:pt idx="12">
                  <c:v>1200</c:v>
                </c:pt>
                <c:pt idx="13">
                  <c:v>1300</c:v>
                </c:pt>
                <c:pt idx="14">
                  <c:v>1400</c:v>
                </c:pt>
                <c:pt idx="15">
                  <c:v>1500</c:v>
                </c:pt>
              </c:numCache>
            </c:numRef>
          </c:cat>
          <c:val>
            <c:numRef>
              <c:f>Sheet1!$B$2:$B$17</c:f>
              <c:numCache>
                <c:formatCode>General</c:formatCode>
                <c:ptCount val="16"/>
                <c:pt idx="0">
                  <c:v>0</c:v>
                </c:pt>
                <c:pt idx="1">
                  <c:v>74</c:v>
                </c:pt>
                <c:pt idx="2">
                  <c:v>148</c:v>
                </c:pt>
                <c:pt idx="3">
                  <c:v>222</c:v>
                </c:pt>
                <c:pt idx="4">
                  <c:v>296</c:v>
                </c:pt>
                <c:pt idx="5">
                  <c:v>370</c:v>
                </c:pt>
                <c:pt idx="6">
                  <c:v>444</c:v>
                </c:pt>
                <c:pt idx="7">
                  <c:v>518</c:v>
                </c:pt>
                <c:pt idx="8">
                  <c:v>592</c:v>
                </c:pt>
                <c:pt idx="9">
                  <c:v>666</c:v>
                </c:pt>
                <c:pt idx="10">
                  <c:v>740</c:v>
                </c:pt>
                <c:pt idx="11">
                  <c:v>814</c:v>
                </c:pt>
                <c:pt idx="12">
                  <c:v>888</c:v>
                </c:pt>
                <c:pt idx="13">
                  <c:v>962</c:v>
                </c:pt>
                <c:pt idx="14">
                  <c:v>1036</c:v>
                </c:pt>
                <c:pt idx="15">
                  <c:v>1110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0-5E9B-48E4-8197-D38A6D5C06A2}"/>
            </c:ext>
          </c:extLst>
        </c:ser>
        <c:dLbls>
          <c:dLblPos val="t"/>
          <c:showLegendKey val="0"/>
          <c:showVal val="1"/>
          <c:showCatName val="0"/>
          <c:showSerName val="0"/>
          <c:showPercent val="0"/>
          <c:showBubbleSize val="0"/>
        </c:dLbls>
        <c:upDownBars>
          <c:gapWidth val="150"/>
          <c:upBars>
            <c:spPr>
              <a:solidFill>
                <a:schemeClr val="lt1"/>
              </a:solidFill>
              <a:ln w="9525">
                <a:solidFill>
                  <a:schemeClr val="tx1">
                    <a:lumMod val="65000"/>
                    <a:lumOff val="35000"/>
                  </a:schemeClr>
                </a:solidFill>
              </a:ln>
              <a:effectLst/>
            </c:spPr>
          </c:upBars>
          <c:downBars>
            <c:spPr>
              <a:solidFill>
                <a:schemeClr val="dk1">
                  <a:lumMod val="75000"/>
                  <a:lumOff val="25000"/>
                </a:schemeClr>
              </a:solidFill>
              <a:ln w="9525">
                <a:solidFill>
                  <a:schemeClr val="tx1">
                    <a:lumMod val="15000"/>
                    <a:lumOff val="85000"/>
                  </a:schemeClr>
                </a:solidFill>
              </a:ln>
              <a:effectLst/>
            </c:spPr>
          </c:downBars>
        </c:upDownBars>
        <c:marker val="1"/>
        <c:smooth val="0"/>
        <c:axId val="968163376"/>
        <c:axId val="763363824"/>
      </c:lineChart>
      <c:catAx>
        <c:axId val="968163376"/>
        <c:scaling>
          <c:orientation val="minMax"/>
        </c:scaling>
        <c:delete val="0"/>
        <c:axPos val="b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title>
          <c:tx>
            <c:rich>
              <a:bodyPr rot="0" spcFirstLastPara="1" vertOverflow="ellipsis" vert="horz" wrap="square" anchor="ctr" anchorCtr="1"/>
              <a:lstStyle/>
              <a:p>
                <a:pPr>
                  <a:defRPr sz="900" b="0" i="0" u="none" strike="noStrike" kern="1200" cap="all" baseline="0">
                    <a:solidFill>
                      <a:schemeClr val="tx1">
                        <a:lumMod val="65000"/>
                        <a:lumOff val="3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r>
                  <a:rPr lang="en-CA"/>
                  <a:t>Pressure (bar)</a:t>
                </a:r>
              </a:p>
            </c:rich>
          </c:tx>
          <c:overlay val="0"/>
          <c:spPr>
            <a:noFill/>
            <a:ln>
              <a:noFill/>
            </a:ln>
            <a:effectLst/>
          </c:spPr>
          <c:txPr>
            <a:bodyPr rot="0" spcFirstLastPara="1" vertOverflow="ellipsis" vert="horz" wrap="square" anchor="ctr" anchorCtr="1"/>
            <a:lstStyle/>
            <a:p>
              <a:pPr>
                <a:defRPr sz="900" b="0" i="0" u="none" strike="noStrike" kern="1200" cap="all" baseline="0">
                  <a:solidFill>
                    <a:schemeClr val="tx1">
                      <a:lumMod val="65000"/>
                      <a:lumOff val="35000"/>
                    </a:schemeClr>
                  </a:solidFill>
                  <a:latin typeface="+mn-lt"/>
                  <a:ea typeface="+mn-ea"/>
                  <a:cs typeface="+mn-cs"/>
                </a:defRPr>
              </a:pPr>
              <a:endParaRPr lang="en-US"/>
            </a:p>
          </c:txPr>
        </c:title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800" b="0" i="0" u="none" strike="noStrike" kern="1200" cap="all" spc="120" normalizeH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n-US"/>
          </a:p>
        </c:txPr>
        <c:crossAx val="763363824"/>
        <c:crosses val="autoZero"/>
        <c:auto val="1"/>
        <c:lblAlgn val="ctr"/>
        <c:lblOffset val="100"/>
        <c:noMultiLvlLbl val="0"/>
      </c:catAx>
      <c:valAx>
        <c:axId val="763363824"/>
        <c:scaling>
          <c:orientation val="minMax"/>
        </c:scaling>
        <c:delete val="0"/>
        <c:axPos val="l"/>
        <c:title>
          <c:tx>
            <c:rich>
              <a:bodyPr rot="-5400000" spcFirstLastPara="1" vertOverflow="ellipsis" vert="horz" wrap="square" anchor="ctr" anchorCtr="1"/>
              <a:lstStyle/>
              <a:p>
                <a:pPr>
                  <a:defRPr sz="900" b="0" i="0" u="none" strike="noStrike" kern="1200" cap="all" baseline="0">
                    <a:solidFill>
                      <a:schemeClr val="tx1">
                        <a:lumMod val="65000"/>
                        <a:lumOff val="3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r>
                  <a:rPr lang="en-CA"/>
                  <a:t>load (kn)</a:t>
                </a:r>
              </a:p>
            </c:rich>
          </c:tx>
          <c:overlay val="0"/>
          <c:spPr>
            <a:noFill/>
            <a:ln>
              <a:noFill/>
            </a:ln>
            <a:effectLst/>
          </c:spPr>
          <c:txPr>
            <a:bodyPr rot="-5400000" spcFirstLastPara="1" vertOverflow="ellipsis" vert="horz" wrap="square" anchor="ctr" anchorCtr="1"/>
            <a:lstStyle/>
            <a:p>
              <a:pPr>
                <a:defRPr sz="900" b="0" i="0" u="none" strike="noStrike" kern="1200" cap="all" baseline="0">
                  <a:solidFill>
                    <a:schemeClr val="tx1">
                      <a:lumMod val="65000"/>
                      <a:lumOff val="35000"/>
                    </a:schemeClr>
                  </a:solidFill>
                  <a:latin typeface="+mn-lt"/>
                  <a:ea typeface="+mn-ea"/>
                  <a:cs typeface="+mn-cs"/>
                </a:defRPr>
              </a:pPr>
              <a:endParaRPr lang="en-US"/>
            </a:p>
          </c:txPr>
        </c:title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dk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n-US"/>
          </a:p>
        </c:txPr>
        <c:crossAx val="968163376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extLst>
      <c:ext xmlns:c16r3="http://schemas.microsoft.com/office/drawing/2017/03/chart" uri="{56B9EC1D-385E-4148-901F-78D8002777C0}">
        <c16r3:dataDisplayOptions16>
          <c16r3:dispNaAsBlank val="1"/>
        </c16r3:dataDisplayOptions16>
      </c:ext>
    </c:extLst>
    <c:showDLblsOverMax val="0"/>
  </c:chart>
  <c:spPr>
    <a:solidFill>
      <a:schemeClr val="lt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en-US"/>
    </a:p>
  </c:txPr>
  <c:externalData r:id="rId3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600" b="1" i="0" u="none" strike="noStrike" kern="1200" cap="all" spc="120" normalizeH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en-US"/>
              <a:t>TDF-1625-10-00</a:t>
            </a:r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600" b="1" i="0" u="none" strike="noStrike" kern="1200" cap="all" spc="120" normalizeH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en-US"/>
        </a:p>
      </c:txPr>
    </c:title>
    <c:autoTitleDeleted val="0"/>
    <c:plotArea>
      <c:layout>
        <c:manualLayout>
          <c:layoutTarget val="inner"/>
          <c:xMode val="edge"/>
          <c:yMode val="edge"/>
          <c:x val="8.4610168921192538E-2"/>
          <c:y val="0.14131964897517582"/>
          <c:w val="0.86533380994462705"/>
          <c:h val="0.69648358988910175"/>
        </c:manualLayout>
      </c:layout>
      <c:lineChart>
        <c:grouping val="standard"/>
        <c:varyColors val="0"/>
        <c:ser>
          <c:idx val="0"/>
          <c:order val="0"/>
          <c:tx>
            <c:strRef>
              <c:f>Sheet1!$B$1</c:f>
              <c:strCache>
                <c:ptCount val="1"/>
                <c:pt idx="0">
                  <c:v>Series 1</c:v>
                </c:pt>
              </c:strCache>
            </c:strRef>
          </c:tx>
          <c:spPr>
            <a:ln w="22225" cap="rnd">
              <a:solidFill>
                <a:schemeClr val="accent1"/>
              </a:solidFill>
              <a:round/>
            </a:ln>
            <a:effectLst/>
          </c:spPr>
          <c:marker>
            <c:symbol val="diamond"/>
            <c:size val="6"/>
            <c:spPr>
              <a:solidFill>
                <a:schemeClr val="accent1"/>
              </a:solidFill>
              <a:ln w="9525">
                <a:solidFill>
                  <a:schemeClr val="accent1"/>
                </a:solidFill>
                <a:round/>
              </a:ln>
              <a:effectLst/>
            </c:spPr>
          </c:marker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50000"/>
                        <a:lumOff val="50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en-US"/>
              </a:p>
            </c:txPr>
            <c:dLblPos val="t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</a:ln>
                    <a:effectLst/>
                  </c:spPr>
                </c15:leaderLines>
              </c:ext>
            </c:extLst>
          </c:dLbls>
          <c:cat>
            <c:numRef>
              <c:f>Sheet1!$A$2:$A$17</c:f>
              <c:numCache>
                <c:formatCode>General</c:formatCode>
                <c:ptCount val="16"/>
                <c:pt idx="0">
                  <c:v>0</c:v>
                </c:pt>
                <c:pt idx="1">
                  <c:v>100</c:v>
                </c:pt>
                <c:pt idx="2">
                  <c:v>200</c:v>
                </c:pt>
                <c:pt idx="3">
                  <c:v>300</c:v>
                </c:pt>
                <c:pt idx="4">
                  <c:v>400</c:v>
                </c:pt>
                <c:pt idx="5">
                  <c:v>500</c:v>
                </c:pt>
                <c:pt idx="6">
                  <c:v>600</c:v>
                </c:pt>
                <c:pt idx="7">
                  <c:v>700</c:v>
                </c:pt>
                <c:pt idx="8">
                  <c:v>800</c:v>
                </c:pt>
                <c:pt idx="9">
                  <c:v>900</c:v>
                </c:pt>
                <c:pt idx="10">
                  <c:v>1000</c:v>
                </c:pt>
                <c:pt idx="11">
                  <c:v>1100</c:v>
                </c:pt>
                <c:pt idx="12">
                  <c:v>1200</c:v>
                </c:pt>
                <c:pt idx="13">
                  <c:v>1300</c:v>
                </c:pt>
                <c:pt idx="14">
                  <c:v>1400</c:v>
                </c:pt>
                <c:pt idx="15">
                  <c:v>1500</c:v>
                </c:pt>
              </c:numCache>
            </c:numRef>
          </c:cat>
          <c:val>
            <c:numRef>
              <c:f>Sheet1!$B$2:$B$17</c:f>
              <c:numCache>
                <c:formatCode>General</c:formatCode>
                <c:ptCount val="16"/>
                <c:pt idx="0">
                  <c:v>0</c:v>
                </c:pt>
                <c:pt idx="1">
                  <c:v>74</c:v>
                </c:pt>
                <c:pt idx="2">
                  <c:v>148</c:v>
                </c:pt>
                <c:pt idx="3">
                  <c:v>222</c:v>
                </c:pt>
                <c:pt idx="4">
                  <c:v>296</c:v>
                </c:pt>
                <c:pt idx="5">
                  <c:v>370</c:v>
                </c:pt>
                <c:pt idx="6">
                  <c:v>444</c:v>
                </c:pt>
                <c:pt idx="7">
                  <c:v>518</c:v>
                </c:pt>
                <c:pt idx="8">
                  <c:v>592</c:v>
                </c:pt>
                <c:pt idx="9">
                  <c:v>666</c:v>
                </c:pt>
                <c:pt idx="10">
                  <c:v>740</c:v>
                </c:pt>
                <c:pt idx="11">
                  <c:v>814</c:v>
                </c:pt>
                <c:pt idx="12">
                  <c:v>888</c:v>
                </c:pt>
                <c:pt idx="13">
                  <c:v>962</c:v>
                </c:pt>
                <c:pt idx="14">
                  <c:v>1036</c:v>
                </c:pt>
                <c:pt idx="15">
                  <c:v>1110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0-B0D9-4436-89B5-CA7197B3E2FB}"/>
            </c:ext>
          </c:extLst>
        </c:ser>
        <c:dLbls>
          <c:dLblPos val="t"/>
          <c:showLegendKey val="0"/>
          <c:showVal val="1"/>
          <c:showCatName val="0"/>
          <c:showSerName val="0"/>
          <c:showPercent val="0"/>
          <c:showBubbleSize val="0"/>
        </c:dLbls>
        <c:upDownBars>
          <c:gapWidth val="150"/>
          <c:upBars>
            <c:spPr>
              <a:solidFill>
                <a:schemeClr val="lt1"/>
              </a:solidFill>
              <a:ln w="9525">
                <a:solidFill>
                  <a:schemeClr val="tx1">
                    <a:lumMod val="65000"/>
                    <a:lumOff val="35000"/>
                  </a:schemeClr>
                </a:solidFill>
              </a:ln>
              <a:effectLst/>
            </c:spPr>
          </c:upBars>
          <c:downBars>
            <c:spPr>
              <a:solidFill>
                <a:schemeClr val="dk1">
                  <a:lumMod val="75000"/>
                  <a:lumOff val="25000"/>
                </a:schemeClr>
              </a:solidFill>
              <a:ln w="9525">
                <a:solidFill>
                  <a:schemeClr val="tx1">
                    <a:lumMod val="15000"/>
                    <a:lumOff val="85000"/>
                  </a:schemeClr>
                </a:solidFill>
              </a:ln>
              <a:effectLst/>
            </c:spPr>
          </c:downBars>
        </c:upDownBars>
        <c:marker val="1"/>
        <c:smooth val="0"/>
        <c:axId val="968163376"/>
        <c:axId val="763363824"/>
      </c:lineChart>
      <c:catAx>
        <c:axId val="968163376"/>
        <c:scaling>
          <c:orientation val="minMax"/>
        </c:scaling>
        <c:delete val="0"/>
        <c:axPos val="b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title>
          <c:tx>
            <c:rich>
              <a:bodyPr rot="0" spcFirstLastPara="1" vertOverflow="ellipsis" vert="horz" wrap="square" anchor="ctr" anchorCtr="1"/>
              <a:lstStyle/>
              <a:p>
                <a:pPr>
                  <a:defRPr sz="900" b="0" i="0" u="none" strike="noStrike" kern="1200" cap="all" baseline="0">
                    <a:solidFill>
                      <a:schemeClr val="tx1">
                        <a:lumMod val="65000"/>
                        <a:lumOff val="3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r>
                  <a:rPr lang="en-CA"/>
                  <a:t>Pressure (bar)</a:t>
                </a:r>
              </a:p>
            </c:rich>
          </c:tx>
          <c:overlay val="0"/>
          <c:spPr>
            <a:noFill/>
            <a:ln>
              <a:noFill/>
            </a:ln>
            <a:effectLst/>
          </c:spPr>
          <c:txPr>
            <a:bodyPr rot="0" spcFirstLastPara="1" vertOverflow="ellipsis" vert="horz" wrap="square" anchor="ctr" anchorCtr="1"/>
            <a:lstStyle/>
            <a:p>
              <a:pPr>
                <a:defRPr sz="900" b="0" i="0" u="none" strike="noStrike" kern="1200" cap="all" baseline="0">
                  <a:solidFill>
                    <a:schemeClr val="tx1">
                      <a:lumMod val="65000"/>
                      <a:lumOff val="35000"/>
                    </a:schemeClr>
                  </a:solidFill>
                  <a:latin typeface="+mn-lt"/>
                  <a:ea typeface="+mn-ea"/>
                  <a:cs typeface="+mn-cs"/>
                </a:defRPr>
              </a:pPr>
              <a:endParaRPr lang="en-US"/>
            </a:p>
          </c:txPr>
        </c:title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800" b="0" i="0" u="none" strike="noStrike" kern="1200" cap="all" spc="120" normalizeH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n-US"/>
          </a:p>
        </c:txPr>
        <c:crossAx val="763363824"/>
        <c:crosses val="autoZero"/>
        <c:auto val="1"/>
        <c:lblAlgn val="ctr"/>
        <c:lblOffset val="100"/>
        <c:noMultiLvlLbl val="0"/>
      </c:catAx>
      <c:valAx>
        <c:axId val="763363824"/>
        <c:scaling>
          <c:orientation val="minMax"/>
        </c:scaling>
        <c:delete val="0"/>
        <c:axPos val="l"/>
        <c:title>
          <c:tx>
            <c:rich>
              <a:bodyPr rot="-5400000" spcFirstLastPara="1" vertOverflow="ellipsis" vert="horz" wrap="square" anchor="ctr" anchorCtr="1"/>
              <a:lstStyle/>
              <a:p>
                <a:pPr>
                  <a:defRPr sz="900" b="0" i="0" u="none" strike="noStrike" kern="1200" cap="all" baseline="0">
                    <a:solidFill>
                      <a:schemeClr val="tx1">
                        <a:lumMod val="65000"/>
                        <a:lumOff val="3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r>
                  <a:rPr lang="en-CA"/>
                  <a:t>load (kn)</a:t>
                </a:r>
              </a:p>
            </c:rich>
          </c:tx>
          <c:overlay val="0"/>
          <c:spPr>
            <a:noFill/>
            <a:ln>
              <a:noFill/>
            </a:ln>
            <a:effectLst/>
          </c:spPr>
          <c:txPr>
            <a:bodyPr rot="-5400000" spcFirstLastPara="1" vertOverflow="ellipsis" vert="horz" wrap="square" anchor="ctr" anchorCtr="1"/>
            <a:lstStyle/>
            <a:p>
              <a:pPr>
                <a:defRPr sz="900" b="0" i="0" u="none" strike="noStrike" kern="1200" cap="all" baseline="0">
                  <a:solidFill>
                    <a:schemeClr val="tx1">
                      <a:lumMod val="65000"/>
                      <a:lumOff val="35000"/>
                    </a:schemeClr>
                  </a:solidFill>
                  <a:latin typeface="+mn-lt"/>
                  <a:ea typeface="+mn-ea"/>
                  <a:cs typeface="+mn-cs"/>
                </a:defRPr>
              </a:pPr>
              <a:endParaRPr lang="en-US"/>
            </a:p>
          </c:txPr>
        </c:title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dk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n-US"/>
          </a:p>
        </c:txPr>
        <c:crossAx val="968163376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extLst>
      <c:ext xmlns:c16r3="http://schemas.microsoft.com/office/drawing/2017/03/chart" uri="{56B9EC1D-385E-4148-901F-78D8002777C0}">
        <c16r3:dataDisplayOptions16>
          <c16r3:dispNaAsBlank val="1"/>
        </c16r3:dataDisplayOptions16>
      </c:ext>
    </c:extLst>
    <c:showDLblsOverMax val="0"/>
  </c:chart>
  <c:spPr>
    <a:solidFill>
      <a:schemeClr val="lt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en-US"/>
    </a:p>
  </c:txPr>
  <c:externalData r:id="rId3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2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239">
  <cs:axisTitle>
    <cs:lnRef idx="0"/>
    <cs:fillRef idx="0"/>
    <cs:effectRef idx="0"/>
    <cs:fontRef idx="minor">
      <a:schemeClr val="tx1">
        <a:lumMod val="65000"/>
        <a:lumOff val="35000"/>
      </a:schemeClr>
    </cs:fontRef>
    <cs:defRPr sz="900" kern="1200" cap="all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800" kern="1200" cap="all" spc="120" normalizeH="0" baseline="0"/>
  </cs:categoryAxis>
  <cs:chartArea mods="allowNoFillOverride allowNoLineOverride">
    <cs:lnRef idx="0"/>
    <cs:fillRef idx="0"/>
    <cs:effectRef idx="0"/>
    <cs:fontRef idx="minor">
      <a:schemeClr val="dk1"/>
    </cs:fontRef>
    <cs:spPr>
      <a:solidFill>
        <a:schemeClr val="lt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tx1">
        <a:lumMod val="50000"/>
        <a:lumOff val="50000"/>
      </a:schemeClr>
    </cs:fontRef>
    <cs:defRPr sz="900" b="0" i="0" u="none" strike="noStrike" kern="1200" baseline="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0">
      <cs:styleClr val="auto"/>
    </cs:fillRef>
    <cs:effectRef idx="0"/>
    <cs:fontRef idx="minor">
      <a:schemeClr val="dk1"/>
    </cs:fontRef>
    <cs:spPr>
      <a:solidFill>
        <a:schemeClr val="phClr"/>
      </a:solidFill>
    </cs:spPr>
  </cs:dataPoint>
  <cs:dataPoint3D>
    <cs:lnRef idx="0"/>
    <cs:fillRef idx="0">
      <cs:styleClr val="auto"/>
    </cs:fillRef>
    <cs:effectRef idx="0"/>
    <cs:fontRef idx="minor">
      <a:schemeClr val="dk1"/>
    </cs:fontRef>
    <cs:spPr>
      <a:solidFill>
        <a:schemeClr val="phClr"/>
      </a:solidFill>
    </cs:spPr>
  </cs:dataPoint3D>
  <cs:dataPointLine>
    <cs:lnRef idx="0">
      <cs:styleClr val="auto"/>
    </cs:lnRef>
    <cs:fillRef idx="0"/>
    <cs:effectRef idx="0"/>
    <cs:fontRef idx="minor">
      <a:schemeClr val="dk1"/>
    </cs:fontRef>
    <cs:spPr>
      <a:ln w="2222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0">
      <cs:styleClr val="auto"/>
    </cs:fillRef>
    <cs:effectRef idx="0"/>
    <cs:fontRef idx="minor">
      <a:schemeClr val="dk1"/>
    </cs:fontRef>
    <cs:spPr>
      <a:solidFill>
        <a:schemeClr val="phClr"/>
      </a:solidFill>
      <a:ln w="9525">
        <a:solidFill>
          <a:schemeClr val="phClr"/>
        </a:solidFill>
        <a:round/>
      </a:ln>
    </cs:spPr>
  </cs:dataPointMarker>
  <cs:dataPointMarkerLayout size="6"/>
  <cs:dataPointWireframe>
    <cs:lnRef idx="0">
      <cs:styleClr val="auto"/>
    </cs:lnRef>
    <cs:fillRef idx="0"/>
    <cs:effectRef idx="0"/>
    <cs:fontRef idx="minor">
      <a:schemeClr val="dk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ln w="9525">
        <a:solidFill>
          <a:schemeClr val="tx1">
            <a:lumMod val="15000"/>
            <a:lumOff val="85000"/>
          </a:schemeClr>
        </a:solidFill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75000"/>
          <a:lumOff val="25000"/>
        </a:schemeClr>
      </a:solidFill>
      <a:ln w="9525">
        <a:solidFill>
          <a:schemeClr val="tx1">
            <a:lumMod val="15000"/>
            <a:lumOff val="85000"/>
          </a:schemeClr>
        </a:solidFill>
      </a:ln>
    </cs:spPr>
  </cs:downBar>
  <cs:dropLine>
    <cs:lnRef idx="0"/>
    <cs:fillRef idx="0"/>
    <cs:effectRef idx="0"/>
    <cs:fontRef idx="minor">
      <a:schemeClr val="dk1"/>
    </cs:fontRef>
    <cs:spPr>
      <a:ln w="9525">
        <a:solidFill>
          <a:schemeClr val="tx1">
            <a:lumMod val="35000"/>
            <a:lumOff val="65000"/>
          </a:schemeClr>
        </a:solidFill>
      </a:ln>
    </cs:spPr>
  </cs:dropLine>
  <cs:errorBar>
    <cs:lnRef idx="0"/>
    <cs:fillRef idx="0"/>
    <cs:effectRef idx="0"/>
    <cs:fontRef idx="minor">
      <a:schemeClr val="dk1"/>
    </cs:fontRef>
    <cs:spPr>
      <a:ln w="9525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dk1"/>
    </cs:fontRef>
  </cs:floor>
  <cs:gridlineMajor>
    <cs:lnRef idx="0"/>
    <cs:fillRef idx="0"/>
    <cs:effectRef idx="0"/>
    <cs:fontRef idx="minor">
      <a:schemeClr val="dk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dk1"/>
    </cs:fontRef>
    <cs:spPr>
      <a:ln>
        <a:solidFill>
          <a:schemeClr val="tx1">
            <a:lumMod val="5000"/>
            <a:lumOff val="95000"/>
          </a:schemeClr>
        </a:solidFill>
      </a:ln>
    </cs:spPr>
  </cs:gridlineMinor>
  <cs:hiLoLine>
    <cs:lnRef idx="0"/>
    <cs:fillRef idx="0"/>
    <cs:effectRef idx="0"/>
    <cs:fontRef idx="minor">
      <a:schemeClr val="dk1"/>
    </cs:fontRef>
    <cs:spPr>
      <a:ln w="9525">
        <a:solidFill>
          <a:schemeClr val="tx1">
            <a:lumMod val="50000"/>
            <a:lumOff val="50000"/>
          </a:schemeClr>
        </a:solidFill>
      </a:ln>
    </cs:spPr>
  </cs:hiLoLine>
  <cs:leaderLine>
    <cs:lnRef idx="0"/>
    <cs:fillRef idx="0"/>
    <cs:effectRef idx="0"/>
    <cs:fontRef idx="minor">
      <a:schemeClr val="dk1"/>
    </cs:fontRef>
    <cs:spPr>
      <a:ln w="9525">
        <a:solidFill>
          <a:schemeClr val="tx1">
            <a:lumMod val="35000"/>
            <a:lumOff val="65000"/>
          </a:schemeClr>
        </a:solidFill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dk1"/>
    </cs:fontRef>
  </cs:plotArea>
  <cs:plotArea3D mods="allowNoFillOverride allowNoLineOverride">
    <cs:lnRef idx="0"/>
    <cs:fillRef idx="0"/>
    <cs:effectRef idx="0"/>
    <cs:fontRef idx="minor">
      <a:schemeClr val="dk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seriesAxis>
  <cs:seriesLine>
    <cs:lnRef idx="0"/>
    <cs:fillRef idx="0"/>
    <cs:effectRef idx="0"/>
    <cs:fontRef idx="minor">
      <a:schemeClr val="dk1"/>
    </cs:fontRef>
    <cs:spPr>
      <a:ln w="9525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600" b="1" kern="1200" cap="all" spc="120" normalizeH="0" baseline="0"/>
  </cs:title>
  <cs:trendline>
    <cs:lnRef idx="0">
      <cs:styleClr val="auto"/>
    </cs:lnRef>
    <cs:fillRef idx="0"/>
    <cs:effectRef idx="0"/>
    <cs:fontRef idx="minor">
      <a:schemeClr val="dk1"/>
    </cs:fontRef>
    <cs:spPr>
      <a:ln w="19050" cap="rnd">
        <a:solidFill>
          <a:schemeClr val="phClr"/>
        </a:solidFill>
        <a:prstDash val="sysDash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8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65000"/>
            <a:lumOff val="3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dk1">
            <a:lumMod val="15000"/>
            <a:lumOff val="85000"/>
          </a:schemeClr>
        </a:solidFill>
        <a:round/>
      </a:ln>
    </cs:spPr>
    <cs:defRPr sz="900" kern="1200"/>
  </cs:valueAxis>
  <cs:wall>
    <cs:lnRef idx="0"/>
    <cs:fillRef idx="0"/>
    <cs:effectRef idx="0"/>
    <cs:fontRef idx="minor">
      <a:schemeClr val="dk1"/>
    </cs:fontRef>
  </cs:wall>
</cs:chartStyle>
</file>

<file path=word/charts/style2.xml><?xml version="1.0" encoding="utf-8"?>
<cs:chartStyle xmlns:cs="http://schemas.microsoft.com/office/drawing/2012/chartStyle" xmlns:a="http://schemas.openxmlformats.org/drawingml/2006/main" id="239">
  <cs:axisTitle>
    <cs:lnRef idx="0"/>
    <cs:fillRef idx="0"/>
    <cs:effectRef idx="0"/>
    <cs:fontRef idx="minor">
      <a:schemeClr val="tx1">
        <a:lumMod val="65000"/>
        <a:lumOff val="35000"/>
      </a:schemeClr>
    </cs:fontRef>
    <cs:defRPr sz="900" kern="1200" cap="all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800" kern="1200" cap="all" spc="120" normalizeH="0" baseline="0"/>
  </cs:categoryAxis>
  <cs:chartArea mods="allowNoFillOverride allowNoLineOverride">
    <cs:lnRef idx="0"/>
    <cs:fillRef idx="0"/>
    <cs:effectRef idx="0"/>
    <cs:fontRef idx="minor">
      <a:schemeClr val="dk1"/>
    </cs:fontRef>
    <cs:spPr>
      <a:solidFill>
        <a:schemeClr val="lt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tx1">
        <a:lumMod val="50000"/>
        <a:lumOff val="50000"/>
      </a:schemeClr>
    </cs:fontRef>
    <cs:defRPr sz="900" b="0" i="0" u="none" strike="noStrike" kern="1200" baseline="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0">
      <cs:styleClr val="auto"/>
    </cs:fillRef>
    <cs:effectRef idx="0"/>
    <cs:fontRef idx="minor">
      <a:schemeClr val="dk1"/>
    </cs:fontRef>
    <cs:spPr>
      <a:solidFill>
        <a:schemeClr val="phClr"/>
      </a:solidFill>
    </cs:spPr>
  </cs:dataPoint>
  <cs:dataPoint3D>
    <cs:lnRef idx="0"/>
    <cs:fillRef idx="0">
      <cs:styleClr val="auto"/>
    </cs:fillRef>
    <cs:effectRef idx="0"/>
    <cs:fontRef idx="minor">
      <a:schemeClr val="dk1"/>
    </cs:fontRef>
    <cs:spPr>
      <a:solidFill>
        <a:schemeClr val="phClr"/>
      </a:solidFill>
    </cs:spPr>
  </cs:dataPoint3D>
  <cs:dataPointLine>
    <cs:lnRef idx="0">
      <cs:styleClr val="auto"/>
    </cs:lnRef>
    <cs:fillRef idx="0"/>
    <cs:effectRef idx="0"/>
    <cs:fontRef idx="minor">
      <a:schemeClr val="dk1"/>
    </cs:fontRef>
    <cs:spPr>
      <a:ln w="2222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0">
      <cs:styleClr val="auto"/>
    </cs:fillRef>
    <cs:effectRef idx="0"/>
    <cs:fontRef idx="minor">
      <a:schemeClr val="dk1"/>
    </cs:fontRef>
    <cs:spPr>
      <a:solidFill>
        <a:schemeClr val="phClr"/>
      </a:solidFill>
      <a:ln w="9525">
        <a:solidFill>
          <a:schemeClr val="phClr"/>
        </a:solidFill>
        <a:round/>
      </a:ln>
    </cs:spPr>
  </cs:dataPointMarker>
  <cs:dataPointMarkerLayout size="6"/>
  <cs:dataPointWireframe>
    <cs:lnRef idx="0">
      <cs:styleClr val="auto"/>
    </cs:lnRef>
    <cs:fillRef idx="0"/>
    <cs:effectRef idx="0"/>
    <cs:fontRef idx="minor">
      <a:schemeClr val="dk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ln w="9525">
        <a:solidFill>
          <a:schemeClr val="tx1">
            <a:lumMod val="15000"/>
            <a:lumOff val="85000"/>
          </a:schemeClr>
        </a:solidFill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75000"/>
          <a:lumOff val="25000"/>
        </a:schemeClr>
      </a:solidFill>
      <a:ln w="9525">
        <a:solidFill>
          <a:schemeClr val="tx1">
            <a:lumMod val="15000"/>
            <a:lumOff val="85000"/>
          </a:schemeClr>
        </a:solidFill>
      </a:ln>
    </cs:spPr>
  </cs:downBar>
  <cs:dropLine>
    <cs:lnRef idx="0"/>
    <cs:fillRef idx="0"/>
    <cs:effectRef idx="0"/>
    <cs:fontRef idx="minor">
      <a:schemeClr val="dk1"/>
    </cs:fontRef>
    <cs:spPr>
      <a:ln w="9525">
        <a:solidFill>
          <a:schemeClr val="tx1">
            <a:lumMod val="35000"/>
            <a:lumOff val="65000"/>
          </a:schemeClr>
        </a:solidFill>
      </a:ln>
    </cs:spPr>
  </cs:dropLine>
  <cs:errorBar>
    <cs:lnRef idx="0"/>
    <cs:fillRef idx="0"/>
    <cs:effectRef idx="0"/>
    <cs:fontRef idx="minor">
      <a:schemeClr val="dk1"/>
    </cs:fontRef>
    <cs:spPr>
      <a:ln w="9525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dk1"/>
    </cs:fontRef>
  </cs:floor>
  <cs:gridlineMajor>
    <cs:lnRef idx="0"/>
    <cs:fillRef idx="0"/>
    <cs:effectRef idx="0"/>
    <cs:fontRef idx="minor">
      <a:schemeClr val="dk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dk1"/>
    </cs:fontRef>
    <cs:spPr>
      <a:ln>
        <a:solidFill>
          <a:schemeClr val="tx1">
            <a:lumMod val="5000"/>
            <a:lumOff val="95000"/>
          </a:schemeClr>
        </a:solidFill>
      </a:ln>
    </cs:spPr>
  </cs:gridlineMinor>
  <cs:hiLoLine>
    <cs:lnRef idx="0"/>
    <cs:fillRef idx="0"/>
    <cs:effectRef idx="0"/>
    <cs:fontRef idx="minor">
      <a:schemeClr val="dk1"/>
    </cs:fontRef>
    <cs:spPr>
      <a:ln w="9525">
        <a:solidFill>
          <a:schemeClr val="tx1">
            <a:lumMod val="50000"/>
            <a:lumOff val="50000"/>
          </a:schemeClr>
        </a:solidFill>
      </a:ln>
    </cs:spPr>
  </cs:hiLoLine>
  <cs:leaderLine>
    <cs:lnRef idx="0"/>
    <cs:fillRef idx="0"/>
    <cs:effectRef idx="0"/>
    <cs:fontRef idx="minor">
      <a:schemeClr val="dk1"/>
    </cs:fontRef>
    <cs:spPr>
      <a:ln w="9525">
        <a:solidFill>
          <a:schemeClr val="tx1">
            <a:lumMod val="35000"/>
            <a:lumOff val="65000"/>
          </a:schemeClr>
        </a:solidFill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dk1"/>
    </cs:fontRef>
  </cs:plotArea>
  <cs:plotArea3D mods="allowNoFillOverride allowNoLineOverride">
    <cs:lnRef idx="0"/>
    <cs:fillRef idx="0"/>
    <cs:effectRef idx="0"/>
    <cs:fontRef idx="minor">
      <a:schemeClr val="dk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seriesAxis>
  <cs:seriesLine>
    <cs:lnRef idx="0"/>
    <cs:fillRef idx="0"/>
    <cs:effectRef idx="0"/>
    <cs:fontRef idx="minor">
      <a:schemeClr val="dk1"/>
    </cs:fontRef>
    <cs:spPr>
      <a:ln w="9525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600" b="1" kern="1200" cap="all" spc="120" normalizeH="0" baseline="0"/>
  </cs:title>
  <cs:trendline>
    <cs:lnRef idx="0">
      <cs:styleClr val="auto"/>
    </cs:lnRef>
    <cs:fillRef idx="0"/>
    <cs:effectRef idx="0"/>
    <cs:fontRef idx="minor">
      <a:schemeClr val="dk1"/>
    </cs:fontRef>
    <cs:spPr>
      <a:ln w="19050" cap="rnd">
        <a:solidFill>
          <a:schemeClr val="phClr"/>
        </a:solidFill>
        <a:prstDash val="sysDash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8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65000"/>
            <a:lumOff val="3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dk1">
            <a:lumMod val="15000"/>
            <a:lumOff val="85000"/>
          </a:schemeClr>
        </a:solidFill>
        <a:round/>
      </a:ln>
    </cs:spPr>
    <cs:defRPr sz="900" kern="1200"/>
  </cs:valueAxis>
  <cs:wall>
    <cs:lnRef idx="0"/>
    <cs:fillRef idx="0"/>
    <cs:effectRef idx="0"/>
    <cs:fontRef idx="minor">
      <a:schemeClr val="dk1"/>
    </cs:fontRef>
  </cs:wall>
</cs:chartStyle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309E6BA-FB09-44CE-94D3-5344146588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213</TotalTime>
  <Pages>2</Pages>
  <Words>44</Words>
  <Characters>256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Lyle McGowan</dc:creator>
  <cp:keywords/>
  <dc:description/>
  <cp:lastModifiedBy>McGowan, Lyle</cp:lastModifiedBy>
  <cp:revision>13</cp:revision>
  <cp:lastPrinted>2020-08-24T15:12:00Z</cp:lastPrinted>
  <dcterms:created xsi:type="dcterms:W3CDTF">2020-08-24T12:01:00Z</dcterms:created>
  <dcterms:modified xsi:type="dcterms:W3CDTF">2020-08-24T15:35:00Z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25887e9e-ee53-426c-ba79-02f9de91a074_Enabled">
    <vt:lpwstr>true</vt:lpwstr>
  </property>
  <property fmtid="{D5CDD505-2E9C-101B-9397-08002B2CF9AE}" pid="3" name="MSIP_Label_25887e9e-ee53-426c-ba79-02f9de91a074_SetDate">
    <vt:lpwstr>2020-08-24T12:00:35Z</vt:lpwstr>
  </property>
  <property fmtid="{D5CDD505-2E9C-101B-9397-08002B2CF9AE}" pid="4" name="MSIP_Label_25887e9e-ee53-426c-ba79-02f9de91a074_Method">
    <vt:lpwstr>Standard</vt:lpwstr>
  </property>
  <property fmtid="{D5CDD505-2E9C-101B-9397-08002B2CF9AE}" pid="5" name="MSIP_Label_25887e9e-ee53-426c-ba79-02f9de91a074_Name">
    <vt:lpwstr>25887e9e-ee53-426c-ba79-02f9de91a074</vt:lpwstr>
  </property>
  <property fmtid="{D5CDD505-2E9C-101B-9397-08002B2CF9AE}" pid="6" name="MSIP_Label_25887e9e-ee53-426c-ba79-02f9de91a074_SiteId">
    <vt:lpwstr>73507a8e-70e2-44cc-af06-02b17722fd8f</vt:lpwstr>
  </property>
  <property fmtid="{D5CDD505-2E9C-101B-9397-08002B2CF9AE}" pid="7" name="MSIP_Label_25887e9e-ee53-426c-ba79-02f9de91a074_ActionId">
    <vt:lpwstr>8596b303-6597-4f0c-ae15-5f6233455e61</vt:lpwstr>
  </property>
  <property fmtid="{D5CDD505-2E9C-101B-9397-08002B2CF9AE}" pid="8" name="MSIP_Label_25887e9e-ee53-426c-ba79-02f9de91a074_ContentBits">
    <vt:lpwstr>0</vt:lpwstr>
  </property>
</Properties>
</file>